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913" w:rsidRDefault="00217913" w:rsidP="00217913">
      <w:pPr>
        <w:pStyle w:val="Default"/>
      </w:pPr>
    </w:p>
    <w:p w:rsidR="00217913" w:rsidRPr="00217913" w:rsidRDefault="00217913" w:rsidP="00217913">
      <w:pPr>
        <w:pStyle w:val="Default"/>
      </w:pPr>
      <w:r>
        <w:t xml:space="preserve"> </w:t>
      </w:r>
    </w:p>
    <w:p w:rsidR="00217913" w:rsidRDefault="00217913" w:rsidP="00217913">
      <w:pPr>
        <w:pStyle w:val="Default"/>
        <w:pBdr>
          <w:top w:val="single" w:sz="4" w:space="1" w:color="auto"/>
          <w:left w:val="single" w:sz="4" w:space="4" w:color="auto"/>
          <w:bottom w:val="single" w:sz="4" w:space="1" w:color="auto"/>
          <w:right w:val="single" w:sz="4" w:space="4" w:color="auto"/>
        </w:pBdr>
        <w:jc w:val="center"/>
      </w:pPr>
      <w:r w:rsidRPr="00217913">
        <w:rPr>
          <w:b/>
          <w:bCs/>
          <w:i/>
          <w:iCs/>
          <w:sz w:val="28"/>
          <w:szCs w:val="28"/>
        </w:rPr>
        <w:t>Déclaration sur l’honneur</w:t>
      </w:r>
    </w:p>
    <w:p w:rsidR="00217913" w:rsidRDefault="00217913" w:rsidP="00217913">
      <w:pPr>
        <w:pStyle w:val="Default"/>
      </w:pPr>
    </w:p>
    <w:p w:rsidR="00217913" w:rsidRDefault="00217913" w:rsidP="00217913">
      <w:pPr>
        <w:pStyle w:val="Default"/>
      </w:pPr>
    </w:p>
    <w:p w:rsidR="00217913" w:rsidRDefault="00217913" w:rsidP="00217913">
      <w:pPr>
        <w:pStyle w:val="Default"/>
        <w:rPr>
          <w:sz w:val="20"/>
          <w:szCs w:val="20"/>
        </w:rPr>
      </w:pPr>
      <w:r>
        <w:rPr>
          <w:sz w:val="20"/>
          <w:szCs w:val="20"/>
        </w:rPr>
        <w:t xml:space="preserve">Je </w:t>
      </w:r>
      <w:proofErr w:type="gramStart"/>
      <w:r>
        <w:rPr>
          <w:sz w:val="20"/>
          <w:szCs w:val="20"/>
        </w:rPr>
        <w:t xml:space="preserve">soussigné, </w:t>
      </w:r>
      <w:r>
        <w:rPr>
          <w:sz w:val="20"/>
          <w:szCs w:val="20"/>
        </w:rPr>
        <w:t xml:space="preserve">  </w:t>
      </w:r>
      <w:proofErr w:type="gramEnd"/>
      <w:r>
        <w:rPr>
          <w:sz w:val="20"/>
          <w:szCs w:val="20"/>
        </w:rPr>
        <w:t xml:space="preserve">                 , </w:t>
      </w:r>
      <w:r>
        <w:rPr>
          <w:sz w:val="20"/>
          <w:szCs w:val="20"/>
        </w:rPr>
        <w:t xml:space="preserve">Entreprise </w:t>
      </w:r>
      <w:r>
        <w:rPr>
          <w:sz w:val="20"/>
          <w:szCs w:val="20"/>
        </w:rPr>
        <w:t xml:space="preserve">             </w:t>
      </w:r>
      <w:r>
        <w:rPr>
          <w:sz w:val="20"/>
          <w:szCs w:val="20"/>
        </w:rPr>
        <w:t xml:space="preserve"> à </w:t>
      </w:r>
      <w:r>
        <w:rPr>
          <w:sz w:val="20"/>
          <w:szCs w:val="20"/>
        </w:rPr>
        <w:t xml:space="preserve"> </w:t>
      </w:r>
      <w:r>
        <w:rPr>
          <w:sz w:val="20"/>
          <w:szCs w:val="20"/>
        </w:rPr>
        <w:t xml:space="preserve">, agissant en vertu des pouvoirs qui m’ont été délégués, </w:t>
      </w:r>
    </w:p>
    <w:p w:rsidR="00217913" w:rsidRDefault="00217913" w:rsidP="00217913">
      <w:pPr>
        <w:pStyle w:val="Default"/>
        <w:rPr>
          <w:sz w:val="20"/>
          <w:szCs w:val="20"/>
        </w:rPr>
      </w:pPr>
    </w:p>
    <w:p w:rsidR="00217913" w:rsidRPr="00217913" w:rsidRDefault="00217913" w:rsidP="00217913">
      <w:pPr>
        <w:pStyle w:val="Default"/>
        <w:numPr>
          <w:ilvl w:val="0"/>
          <w:numId w:val="1"/>
        </w:numPr>
        <w:jc w:val="both"/>
        <w:rPr>
          <w:sz w:val="13"/>
          <w:szCs w:val="13"/>
        </w:rPr>
      </w:pPr>
      <w:r w:rsidRPr="00217913">
        <w:rPr>
          <w:sz w:val="20"/>
          <w:szCs w:val="20"/>
        </w:rPr>
        <w:t>a) ne pas avoir fait l’objet, depuis moins de cinq ans, d'une condamnation définitive pour l'une des infractions prévues par les articles suivants du code pénal : 222-38, 222-40, 313-1 à 313-3, 314-1 à 314-3, 324-1 à 324-6, 421-2-1, 2</w:t>
      </w:r>
      <w:r w:rsidRPr="00217913">
        <w:rPr>
          <w:sz w:val="13"/>
          <w:szCs w:val="13"/>
        </w:rPr>
        <w:t xml:space="preserve">ème </w:t>
      </w:r>
      <w:r w:rsidRPr="00217913">
        <w:rPr>
          <w:sz w:val="20"/>
          <w:szCs w:val="20"/>
        </w:rPr>
        <w:t>alinéa de l'article 421-5, 433-1, 2</w:t>
      </w:r>
      <w:r w:rsidRPr="00217913">
        <w:rPr>
          <w:sz w:val="13"/>
          <w:szCs w:val="13"/>
        </w:rPr>
        <w:t xml:space="preserve">ème </w:t>
      </w:r>
      <w:r w:rsidRPr="00217913">
        <w:rPr>
          <w:sz w:val="20"/>
          <w:szCs w:val="20"/>
        </w:rPr>
        <w:t>alinéa de l'article 433-2, 8</w:t>
      </w:r>
      <w:r w:rsidRPr="00217913">
        <w:rPr>
          <w:sz w:val="13"/>
          <w:szCs w:val="13"/>
        </w:rPr>
        <w:t xml:space="preserve">ème </w:t>
      </w:r>
    </w:p>
    <w:p w:rsidR="00217913" w:rsidRDefault="00217913" w:rsidP="00217913">
      <w:pPr>
        <w:pStyle w:val="Default"/>
        <w:jc w:val="both"/>
        <w:rPr>
          <w:sz w:val="20"/>
          <w:szCs w:val="20"/>
        </w:rPr>
      </w:pPr>
      <w:proofErr w:type="gramStart"/>
      <w:r>
        <w:rPr>
          <w:sz w:val="20"/>
          <w:szCs w:val="20"/>
        </w:rPr>
        <w:t>alinéa</w:t>
      </w:r>
      <w:proofErr w:type="gramEnd"/>
      <w:r>
        <w:rPr>
          <w:sz w:val="20"/>
          <w:szCs w:val="20"/>
        </w:rPr>
        <w:t xml:space="preserve"> de l’article 434-9, 2</w:t>
      </w:r>
      <w:r>
        <w:rPr>
          <w:sz w:val="13"/>
          <w:szCs w:val="13"/>
        </w:rPr>
        <w:t xml:space="preserve">ème </w:t>
      </w:r>
      <w:r>
        <w:rPr>
          <w:sz w:val="20"/>
          <w:szCs w:val="20"/>
        </w:rPr>
        <w:t>alinéa de l’article 434-9-1, 435-3, 435-4, 435-9, 435-10, 441-1 à 441-7, 1er et 2</w:t>
      </w:r>
      <w:r>
        <w:rPr>
          <w:sz w:val="13"/>
          <w:szCs w:val="13"/>
        </w:rPr>
        <w:t xml:space="preserve">ème </w:t>
      </w:r>
      <w:r>
        <w:rPr>
          <w:sz w:val="20"/>
          <w:szCs w:val="20"/>
        </w:rPr>
        <w:t xml:space="preserve">alinéas de l'article 441-8, 441-9, 445-1 et 450-1 ; ou ne pas avoir fait l’objet d’une condamnation pour une infraction de même nature dans un autre Etat de l’Union Européenne ; </w:t>
      </w:r>
    </w:p>
    <w:p w:rsidR="00217913" w:rsidRDefault="00217913" w:rsidP="00217913">
      <w:pPr>
        <w:pStyle w:val="Default"/>
        <w:jc w:val="both"/>
        <w:rPr>
          <w:sz w:val="20"/>
          <w:szCs w:val="20"/>
        </w:rPr>
      </w:pPr>
    </w:p>
    <w:p w:rsidR="00217913" w:rsidRDefault="00217913" w:rsidP="00217913">
      <w:pPr>
        <w:pStyle w:val="Default"/>
        <w:numPr>
          <w:ilvl w:val="0"/>
          <w:numId w:val="2"/>
        </w:numPr>
        <w:spacing w:after="241"/>
        <w:jc w:val="both"/>
        <w:rPr>
          <w:sz w:val="20"/>
          <w:szCs w:val="20"/>
        </w:rPr>
      </w:pPr>
      <w:r>
        <w:rPr>
          <w:sz w:val="20"/>
          <w:szCs w:val="20"/>
        </w:rPr>
        <w:t xml:space="preserve">b) ne pas avoir fait l’objet, depuis moins de cinq ans d’une condamnation définitive pour l’infraction prévue par l'article 1741 du code général des impôts ou une infraction de même nature dans un autre Etat de l’Union Européenne ; </w:t>
      </w:r>
    </w:p>
    <w:p w:rsidR="00217913" w:rsidRDefault="00217913" w:rsidP="00217913">
      <w:pPr>
        <w:pStyle w:val="Default"/>
        <w:numPr>
          <w:ilvl w:val="0"/>
          <w:numId w:val="2"/>
        </w:numPr>
        <w:jc w:val="both"/>
        <w:rPr>
          <w:sz w:val="20"/>
          <w:szCs w:val="20"/>
        </w:rPr>
      </w:pPr>
      <w:r>
        <w:rPr>
          <w:sz w:val="20"/>
          <w:szCs w:val="20"/>
        </w:rPr>
        <w:t xml:space="preserve">c) ne pas avoir fait l’objet, depuis moins de cinq ans, d’une condamnation inscrite au bulletin n° 2 du casier judiciaire pour les infractions mentionnées aux articles L. 8221-1, L. 8221-3, L. 8221-5, L. 8231- 1, L. 8241-1 et L. 8251-1 du code du travail ou des infractions de même nature dans un autre Etat de l’Union Européenne ; </w:t>
      </w:r>
    </w:p>
    <w:p w:rsidR="00217913" w:rsidRDefault="00217913" w:rsidP="00217913">
      <w:pPr>
        <w:pStyle w:val="Default"/>
        <w:jc w:val="both"/>
        <w:rPr>
          <w:sz w:val="20"/>
          <w:szCs w:val="20"/>
        </w:rPr>
      </w:pPr>
    </w:p>
    <w:p w:rsidR="00217913" w:rsidRDefault="00217913" w:rsidP="00217913">
      <w:pPr>
        <w:pStyle w:val="Default"/>
        <w:numPr>
          <w:ilvl w:val="0"/>
          <w:numId w:val="3"/>
        </w:numPr>
        <w:jc w:val="both"/>
        <w:rPr>
          <w:sz w:val="20"/>
          <w:szCs w:val="20"/>
        </w:rPr>
      </w:pPr>
      <w:r>
        <w:rPr>
          <w:sz w:val="20"/>
          <w:szCs w:val="20"/>
        </w:rPr>
        <w:t xml:space="preserve">d) ne pas être en état de liquidation judiciaire ou ne pas faire l’objet d’une procédure équivalente régie par un droit étranger ; </w:t>
      </w:r>
    </w:p>
    <w:p w:rsidR="00217913" w:rsidRDefault="00217913" w:rsidP="00217913">
      <w:pPr>
        <w:pStyle w:val="Default"/>
        <w:jc w:val="both"/>
        <w:rPr>
          <w:sz w:val="20"/>
          <w:szCs w:val="20"/>
        </w:rPr>
      </w:pPr>
    </w:p>
    <w:p w:rsidR="00217913" w:rsidRDefault="00217913" w:rsidP="00217913">
      <w:pPr>
        <w:pStyle w:val="Default"/>
        <w:numPr>
          <w:ilvl w:val="0"/>
          <w:numId w:val="4"/>
        </w:numPr>
        <w:spacing w:after="241"/>
        <w:jc w:val="both"/>
        <w:rPr>
          <w:sz w:val="20"/>
          <w:szCs w:val="20"/>
        </w:rPr>
      </w:pPr>
      <w:r>
        <w:rPr>
          <w:sz w:val="20"/>
          <w:szCs w:val="20"/>
        </w:rPr>
        <w:t xml:space="preserve">e) ne pas être déclaré en état de faillite personnelle ou ne pas faire l’objet d'une procédure équivalente régie par un droit étranger ; </w:t>
      </w:r>
    </w:p>
    <w:p w:rsidR="00217913" w:rsidRDefault="00217913" w:rsidP="00217913">
      <w:pPr>
        <w:pStyle w:val="Default"/>
        <w:numPr>
          <w:ilvl w:val="0"/>
          <w:numId w:val="4"/>
        </w:numPr>
        <w:spacing w:after="241"/>
        <w:jc w:val="both"/>
        <w:rPr>
          <w:sz w:val="20"/>
          <w:szCs w:val="20"/>
        </w:rPr>
      </w:pPr>
      <w:r>
        <w:rPr>
          <w:sz w:val="20"/>
          <w:szCs w:val="20"/>
        </w:rPr>
        <w:t xml:space="preserve">f) ne pas être admis au redressement judiciaire ou à une procédure équivalente régie par un droit étranger, sans justifier d’une habilitation à poursuivre son activité pendant la durée prévisible d'exécution du marché public ou de l’accord-cadre; </w:t>
      </w:r>
    </w:p>
    <w:p w:rsidR="00217913" w:rsidRDefault="00217913" w:rsidP="00217913">
      <w:pPr>
        <w:pStyle w:val="Default"/>
        <w:numPr>
          <w:ilvl w:val="0"/>
          <w:numId w:val="4"/>
        </w:numPr>
        <w:jc w:val="both"/>
        <w:rPr>
          <w:sz w:val="20"/>
          <w:szCs w:val="20"/>
        </w:rPr>
      </w:pPr>
      <w:r>
        <w:rPr>
          <w:sz w:val="20"/>
          <w:szCs w:val="20"/>
        </w:rPr>
        <w:t xml:space="preserve">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 </w:t>
      </w:r>
    </w:p>
    <w:p w:rsidR="00217913" w:rsidRDefault="00217913" w:rsidP="00217913">
      <w:pPr>
        <w:pStyle w:val="Default"/>
        <w:jc w:val="both"/>
        <w:rPr>
          <w:sz w:val="20"/>
          <w:szCs w:val="20"/>
        </w:rPr>
      </w:pPr>
    </w:p>
    <w:p w:rsidR="00217913" w:rsidRDefault="00217913" w:rsidP="00217913">
      <w:pPr>
        <w:pStyle w:val="Default"/>
        <w:numPr>
          <w:ilvl w:val="0"/>
          <w:numId w:val="5"/>
        </w:numPr>
        <w:jc w:val="both"/>
        <w:rPr>
          <w:sz w:val="20"/>
          <w:szCs w:val="20"/>
        </w:rPr>
      </w:pPr>
      <w:r>
        <w:rPr>
          <w:sz w:val="20"/>
          <w:szCs w:val="20"/>
        </w:rPr>
        <w:t xml:space="preserve">h) être en règle, au cours de l'année précédant celle au cours de laquelle a lieu le lancement de la consultation, </w:t>
      </w:r>
      <w:bookmarkStart w:id="0" w:name="_GoBack"/>
      <w:r>
        <w:rPr>
          <w:sz w:val="20"/>
          <w:szCs w:val="20"/>
        </w:rPr>
        <w:t xml:space="preserve">au regard des articles L. 5212-1, L. 5212-2, L. 5212-5 et L. 5212-9 du code du travail concernant l’emploi des travailleurs handicapés ; </w:t>
      </w:r>
      <w:bookmarkEnd w:id="0"/>
    </w:p>
    <w:p w:rsidR="00217913" w:rsidRDefault="00217913" w:rsidP="00217913">
      <w:pPr>
        <w:pStyle w:val="Default"/>
        <w:jc w:val="both"/>
        <w:rPr>
          <w:sz w:val="20"/>
          <w:szCs w:val="20"/>
        </w:rPr>
      </w:pPr>
    </w:p>
    <w:p w:rsidR="00217913" w:rsidRDefault="00217913" w:rsidP="00217913">
      <w:pPr>
        <w:pStyle w:val="Default"/>
        <w:numPr>
          <w:ilvl w:val="0"/>
          <w:numId w:val="6"/>
        </w:numPr>
        <w:spacing w:after="243"/>
        <w:jc w:val="both"/>
        <w:rPr>
          <w:sz w:val="20"/>
          <w:szCs w:val="20"/>
        </w:rPr>
      </w:pPr>
      <w:r>
        <w:rPr>
          <w:sz w:val="20"/>
          <w:szCs w:val="20"/>
        </w:rPr>
        <w:t xml:space="preserve">i) que le travail est effectué par des salariés employés régulièrement au regard des articles L. 1221- 10, L. 3243-2 et R. 3243-1 du code du travail (dans le cas où les candidats emploient des salariés, conformément à l’article D. 8222-5-3° du code du travail), pour le candidat individuel ou membre du groupement établi en France ; </w:t>
      </w:r>
    </w:p>
    <w:p w:rsidR="00217913" w:rsidRDefault="00217913" w:rsidP="00217913">
      <w:pPr>
        <w:pStyle w:val="Default"/>
        <w:numPr>
          <w:ilvl w:val="0"/>
          <w:numId w:val="6"/>
        </w:numPr>
        <w:jc w:val="both"/>
        <w:rPr>
          <w:sz w:val="20"/>
          <w:szCs w:val="20"/>
        </w:rPr>
      </w:pPr>
      <w:r>
        <w:rPr>
          <w:sz w:val="20"/>
          <w:szCs w:val="20"/>
        </w:rPr>
        <w:t xml:space="preserve">j) fournir à ses salariés des bulletins de paie comportant les mentions prévues à l’article R. 3243-1 du code du travail, ou des documents équivalents, pour le candidat individuel ou membre du groupement établi ou domicilié à l’étranger ; </w:t>
      </w:r>
    </w:p>
    <w:p w:rsidR="00217913" w:rsidRDefault="00217913" w:rsidP="00217913">
      <w:pPr>
        <w:pStyle w:val="Default"/>
        <w:jc w:val="both"/>
        <w:rPr>
          <w:sz w:val="20"/>
          <w:szCs w:val="20"/>
        </w:rPr>
      </w:pPr>
    </w:p>
    <w:p w:rsidR="001A0C23" w:rsidRPr="002E68F1" w:rsidRDefault="00217913" w:rsidP="00217913">
      <w:pPr>
        <w:jc w:val="both"/>
        <w:rPr>
          <w:rFonts w:ascii="Arial" w:hAnsi="Arial" w:cs="Arial"/>
          <w:color w:val="000000"/>
          <w:sz w:val="20"/>
          <w:szCs w:val="20"/>
        </w:rPr>
      </w:pPr>
      <w:r w:rsidRPr="002E68F1">
        <w:rPr>
          <w:rFonts w:ascii="Arial" w:hAnsi="Arial" w:cs="Arial"/>
          <w:color w:val="000000"/>
          <w:sz w:val="20"/>
          <w:szCs w:val="20"/>
        </w:rPr>
        <w:t xml:space="preserve">Fait à, Le </w:t>
      </w:r>
      <w:r w:rsidRPr="002E68F1">
        <w:rPr>
          <w:rFonts w:ascii="Arial" w:hAnsi="Arial" w:cs="Arial"/>
          <w:color w:val="000000"/>
          <w:sz w:val="20"/>
          <w:szCs w:val="20"/>
        </w:rPr>
        <w:t xml:space="preserve">        </w:t>
      </w:r>
    </w:p>
    <w:p w:rsidR="00217913" w:rsidRPr="002E68F1" w:rsidRDefault="00217913" w:rsidP="00217913">
      <w:pPr>
        <w:jc w:val="both"/>
        <w:rPr>
          <w:rFonts w:ascii="Arial" w:hAnsi="Arial" w:cs="Arial"/>
          <w:color w:val="000000"/>
          <w:sz w:val="20"/>
          <w:szCs w:val="20"/>
        </w:rPr>
      </w:pPr>
    </w:p>
    <w:p w:rsidR="00217913" w:rsidRPr="002E68F1" w:rsidRDefault="00217913" w:rsidP="00217913">
      <w:pPr>
        <w:jc w:val="both"/>
        <w:rPr>
          <w:rFonts w:ascii="Arial" w:hAnsi="Arial" w:cs="Arial"/>
          <w:color w:val="000000"/>
          <w:sz w:val="20"/>
          <w:szCs w:val="20"/>
        </w:rPr>
      </w:pPr>
      <w:r w:rsidRPr="002E68F1">
        <w:rPr>
          <w:rFonts w:ascii="Arial" w:hAnsi="Arial" w:cs="Arial"/>
          <w:color w:val="000000"/>
          <w:sz w:val="20"/>
          <w:szCs w:val="20"/>
        </w:rPr>
        <w:t>SIGNATURE</w:t>
      </w:r>
    </w:p>
    <w:sectPr w:rsidR="00217913" w:rsidRPr="002E68F1" w:rsidSect="00795654">
      <w:pgSz w:w="11906" w:h="16838"/>
      <w:pgMar w:top="1077" w:right="1077" w:bottom="1077"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276A855"/>
    <w:multiLevelType w:val="hybridMultilevel"/>
    <w:tmpl w:val="05D10CF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B8CD6F0"/>
    <w:multiLevelType w:val="hybridMultilevel"/>
    <w:tmpl w:val="4F46F73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B6397F6"/>
    <w:multiLevelType w:val="hybridMultilevel"/>
    <w:tmpl w:val="40E6AD4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4F15C36"/>
    <w:multiLevelType w:val="hybridMultilevel"/>
    <w:tmpl w:val="6D11076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B28AC34"/>
    <w:multiLevelType w:val="hybridMultilevel"/>
    <w:tmpl w:val="5AC05C2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42369B3D"/>
    <w:multiLevelType w:val="hybridMultilevel"/>
    <w:tmpl w:val="F6F6142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revisionView w:inkAnnotations="0"/>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913"/>
    <w:rsid w:val="001A0C23"/>
    <w:rsid w:val="00217913"/>
    <w:rsid w:val="002E68F1"/>
    <w:rsid w:val="00795654"/>
    <w:rsid w:val="00CF64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D04D6"/>
  <w15:chartTrackingRefBased/>
  <w15:docId w15:val="{08434049-086B-404A-A0A2-D703ABF84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1791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493</Words>
  <Characters>2715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lbeauplet</dc:creator>
  <cp:keywords/>
  <dc:description/>
  <cp:lastModifiedBy>lbeauplet</cp:lastModifiedBy>
  <cp:revision>2</cp:revision>
  <dcterms:created xsi:type="dcterms:W3CDTF">2025-07-22T13:07:00Z</dcterms:created>
  <dcterms:modified xsi:type="dcterms:W3CDTF">2025-07-22T13:07:00Z</dcterms:modified>
</cp:coreProperties>
</file>